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171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 NAROVNÁNÍ</w:t>
      </w:r>
    </w:p>
    <w:p w14:paraId="00000002" w14:textId="77777777" w:rsidR="00621718" w:rsidRDefault="00621718">
      <w:pPr>
        <w:jc w:val="center"/>
        <w:rPr>
          <w:b/>
          <w:sz w:val="22"/>
          <w:szCs w:val="22"/>
        </w:rPr>
      </w:pPr>
    </w:p>
    <w:p w14:paraId="00000003" w14:textId="77777777" w:rsidR="00621718" w:rsidRDefault="00621718">
      <w:pPr>
        <w:jc w:val="center"/>
        <w:rPr>
          <w:sz w:val="22"/>
          <w:szCs w:val="22"/>
        </w:rPr>
      </w:pPr>
    </w:p>
    <w:p w14:paraId="00000004" w14:textId="77777777" w:rsidR="00621718" w:rsidRDefault="00000000">
      <w:pPr>
        <w:shd w:val="clear" w:color="auto" w:fill="FFFFFF"/>
        <w:rPr>
          <w:b/>
          <w:sz w:val="23"/>
          <w:szCs w:val="23"/>
        </w:rPr>
      </w:pPr>
      <w:r>
        <w:rPr>
          <w:sz w:val="22"/>
          <w:szCs w:val="22"/>
          <w:highlight w:val="yellow"/>
        </w:rPr>
        <w:t>[…]</w:t>
      </w:r>
      <w:r>
        <w:rPr>
          <w:b/>
          <w:sz w:val="23"/>
          <w:szCs w:val="23"/>
        </w:rPr>
        <w:t xml:space="preserve">, </w:t>
      </w:r>
      <w:r>
        <w:rPr>
          <w:sz w:val="23"/>
          <w:szCs w:val="23"/>
        </w:rPr>
        <w:t xml:space="preserve">IČO: </w:t>
      </w:r>
      <w:r>
        <w:rPr>
          <w:sz w:val="22"/>
          <w:szCs w:val="22"/>
          <w:highlight w:val="yellow"/>
        </w:rPr>
        <w:t>[…]</w:t>
      </w:r>
    </w:p>
    <w:p w14:paraId="00000005" w14:textId="77777777" w:rsidR="00621718" w:rsidRDefault="00000000">
      <w:pPr>
        <w:rPr>
          <w:sz w:val="23"/>
          <w:szCs w:val="23"/>
        </w:rPr>
      </w:pPr>
      <w:r>
        <w:rPr>
          <w:sz w:val="23"/>
          <w:szCs w:val="23"/>
        </w:rPr>
        <w:t xml:space="preserve">Sídlem </w:t>
      </w:r>
      <w:r>
        <w:rPr>
          <w:sz w:val="22"/>
          <w:szCs w:val="22"/>
          <w:highlight w:val="yellow"/>
        </w:rPr>
        <w:t>[…]</w:t>
      </w:r>
    </w:p>
    <w:p w14:paraId="00000006" w14:textId="77777777" w:rsidR="00621718" w:rsidRDefault="00000000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i/>
          <w:sz w:val="23"/>
          <w:szCs w:val="23"/>
        </w:rPr>
        <w:t>Nájemce</w:t>
      </w:r>
      <w:r>
        <w:rPr>
          <w:sz w:val="23"/>
          <w:szCs w:val="23"/>
        </w:rPr>
        <w:t>“)</w:t>
      </w:r>
    </w:p>
    <w:p w14:paraId="00000007" w14:textId="77777777" w:rsidR="00621718" w:rsidRDefault="00621718">
      <w:pPr>
        <w:shd w:val="clear" w:color="auto" w:fill="FFFFFF"/>
        <w:rPr>
          <w:sz w:val="23"/>
          <w:szCs w:val="23"/>
        </w:rPr>
      </w:pPr>
    </w:p>
    <w:p w14:paraId="00000008" w14:textId="77777777" w:rsidR="00621718" w:rsidRDefault="00000000">
      <w:pPr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00000009" w14:textId="77777777" w:rsidR="00621718" w:rsidRDefault="00621718">
      <w:pPr>
        <w:shd w:val="clear" w:color="auto" w:fill="FFFFFF"/>
        <w:rPr>
          <w:b/>
          <w:sz w:val="23"/>
          <w:szCs w:val="23"/>
        </w:rPr>
      </w:pPr>
    </w:p>
    <w:p w14:paraId="0000000A" w14:textId="77777777" w:rsidR="00621718" w:rsidRDefault="00000000">
      <w:pPr>
        <w:ind w:left="1410" w:hanging="1410"/>
        <w:jc w:val="both"/>
        <w:rPr>
          <w:b/>
          <w:sz w:val="23"/>
          <w:szCs w:val="23"/>
        </w:rPr>
      </w:pPr>
      <w:r>
        <w:rPr>
          <w:sz w:val="22"/>
          <w:szCs w:val="22"/>
          <w:highlight w:val="yellow"/>
        </w:rPr>
        <w:t>[…]</w:t>
      </w:r>
      <w:r>
        <w:rPr>
          <w:sz w:val="23"/>
          <w:szCs w:val="23"/>
        </w:rPr>
        <w:t xml:space="preserve">, IČO </w:t>
      </w:r>
      <w:r>
        <w:rPr>
          <w:sz w:val="22"/>
          <w:szCs w:val="22"/>
          <w:highlight w:val="yellow"/>
        </w:rPr>
        <w:t>[…]</w:t>
      </w:r>
    </w:p>
    <w:p w14:paraId="0000000B" w14:textId="77777777" w:rsidR="00621718" w:rsidRDefault="00000000">
      <w:pPr>
        <w:ind w:left="1410" w:hanging="1410"/>
        <w:jc w:val="both"/>
        <w:rPr>
          <w:sz w:val="23"/>
          <w:szCs w:val="23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sz w:val="23"/>
          <w:szCs w:val="23"/>
        </w:rPr>
        <w:t xml:space="preserve">sídlem </w:t>
      </w:r>
      <w:r>
        <w:rPr>
          <w:sz w:val="22"/>
          <w:szCs w:val="22"/>
          <w:highlight w:val="yellow"/>
        </w:rPr>
        <w:t>[…]</w:t>
      </w:r>
    </w:p>
    <w:p w14:paraId="0000000C" w14:textId="77777777" w:rsidR="00621718" w:rsidRDefault="00000000">
      <w:pPr>
        <w:ind w:left="1410" w:hanging="1410"/>
        <w:jc w:val="both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i/>
          <w:sz w:val="23"/>
          <w:szCs w:val="23"/>
        </w:rPr>
        <w:t>Pronajímatel</w:t>
      </w:r>
      <w:r>
        <w:rPr>
          <w:sz w:val="23"/>
          <w:szCs w:val="23"/>
        </w:rPr>
        <w:t>“)</w:t>
      </w:r>
    </w:p>
    <w:p w14:paraId="0000000D" w14:textId="77777777" w:rsidR="00621718" w:rsidRDefault="00621718">
      <w:pPr>
        <w:ind w:left="1410" w:hanging="1410"/>
        <w:jc w:val="both"/>
        <w:rPr>
          <w:sz w:val="23"/>
          <w:szCs w:val="23"/>
        </w:rPr>
      </w:pPr>
    </w:p>
    <w:p w14:paraId="0000000E" w14:textId="77777777" w:rsidR="00621718" w:rsidRDefault="00000000">
      <w:pPr>
        <w:spacing w:before="280" w:after="120" w:line="300" w:lineRule="auto"/>
        <w:ind w:left="1410" w:hanging="14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(Nájemce a Pronajímatel dále společně jen </w:t>
      </w:r>
      <w:bookmarkStart w:id="3" w:name="bookmark=id.2et92p0" w:colFirst="0" w:colLast="0"/>
      <w:bookmarkStart w:id="4" w:name="bookmark=id.3znysh7" w:colFirst="0" w:colLast="0"/>
      <w:bookmarkStart w:id="5" w:name="bookmark=id.tyjcwt" w:colFirst="0" w:colLast="0"/>
      <w:bookmarkEnd w:id="3"/>
      <w:bookmarkEnd w:id="4"/>
      <w:bookmarkEnd w:id="5"/>
      <w:r>
        <w:rPr>
          <w:sz w:val="23"/>
          <w:szCs w:val="23"/>
        </w:rPr>
        <w:t>„</w:t>
      </w:r>
      <w:r>
        <w:rPr>
          <w:b/>
          <w:i/>
          <w:sz w:val="23"/>
          <w:szCs w:val="23"/>
        </w:rPr>
        <w:t>Smluvní strany</w:t>
      </w:r>
      <w:r>
        <w:rPr>
          <w:sz w:val="23"/>
          <w:szCs w:val="23"/>
        </w:rPr>
        <w:t>“)</w:t>
      </w:r>
    </w:p>
    <w:p w14:paraId="0000000F" w14:textId="77777777" w:rsidR="00621718" w:rsidRDefault="00000000">
      <w:pPr>
        <w:spacing w:before="280" w:after="120" w:line="3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uzavírají níže uvedeného dne, měsíce a roku 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>. § 1903 a násl. zákona č. 89/2012 Sb., občanského zákoníku, ve znění pozdějších předpisů, tuto</w:t>
      </w:r>
    </w:p>
    <w:p w14:paraId="00000010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before="280" w:after="120" w:line="300" w:lineRule="auto"/>
        <w:ind w:left="708" w:firstLine="708"/>
        <w:jc w:val="both"/>
        <w:rPr>
          <w:color w:val="000000"/>
          <w:sz w:val="23"/>
          <w:szCs w:val="23"/>
        </w:rPr>
      </w:pPr>
    </w:p>
    <w:p w14:paraId="00000011" w14:textId="77777777" w:rsidR="00621718" w:rsidRDefault="00000000">
      <w:pPr>
        <w:pStyle w:val="Nadpis2"/>
        <w:spacing w:line="300" w:lineRule="auto"/>
        <w:rPr>
          <w:sz w:val="23"/>
          <w:szCs w:val="23"/>
        </w:rPr>
      </w:pPr>
      <w:r>
        <w:rPr>
          <w:sz w:val="23"/>
          <w:szCs w:val="23"/>
        </w:rPr>
        <w:t>Dohodu o narovnání</w:t>
      </w:r>
    </w:p>
    <w:p w14:paraId="00000012" w14:textId="77777777" w:rsidR="00621718" w:rsidRDefault="00000000">
      <w:pPr>
        <w:spacing w:line="30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(dále jen „</w:t>
      </w:r>
      <w:r>
        <w:rPr>
          <w:b/>
          <w:i/>
          <w:sz w:val="23"/>
          <w:szCs w:val="23"/>
        </w:rPr>
        <w:t>Dohoda</w:t>
      </w:r>
      <w:r>
        <w:rPr>
          <w:sz w:val="23"/>
          <w:szCs w:val="23"/>
        </w:rPr>
        <w:t>“)</w:t>
      </w:r>
    </w:p>
    <w:p w14:paraId="00000013" w14:textId="77777777" w:rsidR="00621718" w:rsidRDefault="00621718">
      <w:pPr>
        <w:spacing w:after="120" w:line="300" w:lineRule="auto"/>
        <w:jc w:val="center"/>
        <w:rPr>
          <w:sz w:val="23"/>
          <w:szCs w:val="23"/>
        </w:rPr>
      </w:pPr>
    </w:p>
    <w:p w14:paraId="00000014" w14:textId="77777777" w:rsidR="00621718" w:rsidRDefault="0000000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I.</w:t>
      </w:r>
    </w:p>
    <w:p w14:paraId="00000015" w14:textId="77777777" w:rsidR="00621718" w:rsidRDefault="00000000">
      <w:pPr>
        <w:ind w:left="720" w:hanging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Skutkový stav a sporné skutečnosti</w:t>
      </w:r>
    </w:p>
    <w:p w14:paraId="00000016" w14:textId="77777777" w:rsidR="00621718" w:rsidRDefault="00621718">
      <w:pPr>
        <w:tabs>
          <w:tab w:val="left" w:pos="284"/>
        </w:tabs>
        <w:spacing w:after="120" w:line="300" w:lineRule="auto"/>
        <w:ind w:left="284"/>
        <w:jc w:val="both"/>
        <w:rPr>
          <w:sz w:val="23"/>
          <w:szCs w:val="23"/>
        </w:rPr>
      </w:pPr>
    </w:p>
    <w:p w14:paraId="00000017" w14:textId="77777777" w:rsidR="00621718" w:rsidRDefault="00000000">
      <w:pPr>
        <w:numPr>
          <w:ilvl w:val="0"/>
          <w:numId w:val="1"/>
        </w:numPr>
        <w:tabs>
          <w:tab w:val="left" w:pos="284"/>
        </w:tabs>
        <w:spacing w:after="120" w:line="300" w:lineRule="auto"/>
        <w:ind w:left="284" w:hanging="284"/>
        <w:jc w:val="both"/>
        <w:rPr>
          <w:sz w:val="23"/>
          <w:szCs w:val="23"/>
        </w:rPr>
      </w:pPr>
      <w:bookmarkStart w:id="6" w:name="_heading=h.3dy6vkm" w:colFirst="0" w:colLast="0"/>
      <w:bookmarkEnd w:id="6"/>
      <w:r>
        <w:rPr>
          <w:sz w:val="23"/>
          <w:szCs w:val="23"/>
        </w:rPr>
        <w:t xml:space="preserve">Smluvní strany prohlašují, že uzavřeli dne </w:t>
      </w:r>
      <w:r>
        <w:rPr>
          <w:sz w:val="22"/>
          <w:szCs w:val="22"/>
          <w:highlight w:val="yellow"/>
        </w:rPr>
        <w:t>[…]</w:t>
      </w:r>
      <w:r>
        <w:rPr>
          <w:sz w:val="23"/>
          <w:szCs w:val="23"/>
        </w:rPr>
        <w:t xml:space="preserve"> nájemní smlouvu (dále jen "</w:t>
      </w:r>
      <w:r>
        <w:rPr>
          <w:b/>
          <w:i/>
          <w:sz w:val="23"/>
          <w:szCs w:val="23"/>
        </w:rPr>
        <w:t>Smlouva</w:t>
      </w:r>
      <w:r>
        <w:rPr>
          <w:sz w:val="23"/>
          <w:szCs w:val="23"/>
        </w:rPr>
        <w:t xml:space="preserve">"), jejímž předmětem jsou </w:t>
      </w:r>
      <w:r>
        <w:rPr>
          <w:sz w:val="22"/>
          <w:szCs w:val="22"/>
          <w:highlight w:val="yellow"/>
        </w:rPr>
        <w:t xml:space="preserve">[…] </w:t>
      </w:r>
      <w:r>
        <w:rPr>
          <w:sz w:val="23"/>
          <w:szCs w:val="23"/>
        </w:rPr>
        <w:t>(dále jen "</w:t>
      </w:r>
      <w:r>
        <w:rPr>
          <w:b/>
          <w:i/>
          <w:sz w:val="23"/>
          <w:szCs w:val="23"/>
        </w:rPr>
        <w:t>Předmět nájmu</w:t>
      </w:r>
      <w:r>
        <w:rPr>
          <w:sz w:val="23"/>
          <w:szCs w:val="23"/>
        </w:rPr>
        <w:t xml:space="preserve">"). Z důvodu </w:t>
      </w:r>
      <w:r>
        <w:rPr>
          <w:sz w:val="22"/>
          <w:szCs w:val="22"/>
          <w:highlight w:val="yellow"/>
        </w:rPr>
        <w:t xml:space="preserve">[…] </w:t>
      </w:r>
      <w:r>
        <w:rPr>
          <w:sz w:val="23"/>
          <w:szCs w:val="23"/>
        </w:rPr>
        <w:t xml:space="preserve">Nájemce nemohl prostory užívat a provozovat v nich podnikatelskou činnost v souladu se Smlouvou. </w:t>
      </w:r>
    </w:p>
    <w:p w14:paraId="00000018" w14:textId="77777777" w:rsidR="00621718" w:rsidRDefault="00000000">
      <w:pPr>
        <w:numPr>
          <w:ilvl w:val="0"/>
          <w:numId w:val="1"/>
        </w:numPr>
        <w:tabs>
          <w:tab w:val="left" w:pos="284"/>
        </w:tabs>
        <w:spacing w:after="120" w:line="30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Smluvní strany dále prohlašují, že vypořádání sporných práv a povinností Smluvních stran vyplývajících ze skutečností uvedených v předchozím odstavci doposud nebylo Smluvními stranami upravenou žádnou smlouvou či dohodou.</w:t>
      </w:r>
    </w:p>
    <w:p w14:paraId="00000019" w14:textId="77777777" w:rsidR="006217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Smluvní strany za účelem narovnání veškerých sporných práv a povinností vyplývajících z výše specifikovaných skutečností, zejm. ohledně nároku a výše náhrady za nemožnost užívání Předmětu nájmu, uzavírají tuto dohodu.</w:t>
      </w:r>
    </w:p>
    <w:p w14:paraId="0000001A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rPr>
          <w:b/>
          <w:color w:val="000000"/>
          <w:sz w:val="23"/>
          <w:szCs w:val="23"/>
        </w:rPr>
      </w:pPr>
    </w:p>
    <w:p w14:paraId="0000001B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II.</w:t>
      </w:r>
    </w:p>
    <w:p w14:paraId="0000001C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Narovnání</w:t>
      </w:r>
    </w:p>
    <w:p w14:paraId="0000001D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both"/>
        <w:rPr>
          <w:color w:val="000000"/>
          <w:sz w:val="23"/>
          <w:szCs w:val="23"/>
        </w:rPr>
      </w:pPr>
    </w:p>
    <w:p w14:paraId="4DC01F72" w14:textId="77777777" w:rsidR="006F2D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Smluvní strany shodně prohlašují, že zejména za účelem vyhnutí se složitému a nákladnému soudnímu řízení se dohodly na tomto narovnání sporných práv a povinností vyplývajících</w:t>
      </w:r>
    </w:p>
    <w:p w14:paraId="0000001E" w14:textId="265DE417" w:rsidR="00621718" w:rsidRDefault="00000000" w:rsidP="006F2D3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ze skutečností uvedených v čl. I této Dohody:</w:t>
      </w:r>
    </w:p>
    <w:p w14:paraId="7B03FBA0" w14:textId="77777777" w:rsidR="00E90B15" w:rsidRDefault="00E90B15" w:rsidP="006F2D3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/>
        <w:jc w:val="both"/>
        <w:rPr>
          <w:color w:val="000000"/>
          <w:sz w:val="23"/>
          <w:szCs w:val="23"/>
        </w:rPr>
      </w:pPr>
    </w:p>
    <w:p w14:paraId="0000001F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20"/>
        <w:jc w:val="both"/>
        <w:rPr>
          <w:color w:val="000000"/>
          <w:sz w:val="23"/>
          <w:szCs w:val="23"/>
        </w:rPr>
      </w:pPr>
    </w:p>
    <w:p w14:paraId="5025FF86" w14:textId="77777777" w:rsidR="00E90B1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Nájemce se zavazuje, že od </w:t>
      </w:r>
      <w:r>
        <w:rPr>
          <w:sz w:val="22"/>
          <w:szCs w:val="22"/>
          <w:highlight w:val="yellow"/>
        </w:rPr>
        <w:t xml:space="preserve">[…] </w:t>
      </w:r>
      <w:r>
        <w:rPr>
          <w:color w:val="000000"/>
          <w:sz w:val="23"/>
          <w:szCs w:val="23"/>
        </w:rPr>
        <w:t xml:space="preserve"> bude hradit veškeré platby, tj. zejm. nájemné i zálohy</w:t>
      </w:r>
      <w:r w:rsidR="00E90B15">
        <w:rPr>
          <w:color w:val="000000"/>
          <w:sz w:val="23"/>
          <w:szCs w:val="23"/>
        </w:rPr>
        <w:t> </w:t>
      </w:r>
    </w:p>
    <w:p w14:paraId="00000020" w14:textId="1777207C" w:rsidR="00621718" w:rsidRDefault="00000000" w:rsidP="00E90B1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</w:t>
      </w:r>
      <w:r w:rsidR="00E90B1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služby dle Smlouvy.</w:t>
      </w:r>
    </w:p>
    <w:p w14:paraId="00000021" w14:textId="77777777" w:rsidR="0062171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Pronajímatel se zavazuje, že v období </w:t>
      </w:r>
      <w:r>
        <w:rPr>
          <w:sz w:val="22"/>
          <w:szCs w:val="22"/>
          <w:highlight w:val="yellow"/>
        </w:rPr>
        <w:t xml:space="preserve">[…] </w:t>
      </w:r>
      <w:r>
        <w:rPr>
          <w:color w:val="000000"/>
          <w:sz w:val="23"/>
          <w:szCs w:val="23"/>
        </w:rPr>
        <w:t xml:space="preserve"> nezvýší nájemné. </w:t>
      </w:r>
    </w:p>
    <w:p w14:paraId="00000022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720"/>
        <w:jc w:val="both"/>
        <w:rPr>
          <w:color w:val="000000"/>
          <w:sz w:val="23"/>
          <w:szCs w:val="23"/>
        </w:rPr>
      </w:pPr>
    </w:p>
    <w:p w14:paraId="514CE985" w14:textId="77777777" w:rsidR="00990C02" w:rsidRDefault="00000000" w:rsidP="00990C02">
      <w:pPr>
        <w:numPr>
          <w:ilvl w:val="0"/>
          <w:numId w:val="1"/>
        </w:numPr>
        <w:tabs>
          <w:tab w:val="left" w:pos="284"/>
        </w:tabs>
        <w:spacing w:after="120" w:line="30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Smluvní strany shodně prohlašují, že ostatní ujednání Smlouvy zůstávají beze změny, platná</w:t>
      </w:r>
      <w:r w:rsidR="00990C02">
        <w:rPr>
          <w:sz w:val="23"/>
          <w:szCs w:val="23"/>
        </w:rPr>
        <w:t xml:space="preserve"> </w:t>
      </w:r>
    </w:p>
    <w:p w14:paraId="00000023" w14:textId="690DCBB6" w:rsidR="00621718" w:rsidRPr="00990C02" w:rsidRDefault="00000000" w:rsidP="00990C02">
      <w:pPr>
        <w:tabs>
          <w:tab w:val="left" w:pos="284"/>
        </w:tabs>
        <w:spacing w:after="120" w:line="300" w:lineRule="auto"/>
        <w:ind w:left="284"/>
        <w:jc w:val="both"/>
        <w:rPr>
          <w:sz w:val="23"/>
          <w:szCs w:val="23"/>
        </w:rPr>
      </w:pPr>
      <w:r w:rsidRPr="00990C02">
        <w:rPr>
          <w:sz w:val="23"/>
          <w:szCs w:val="23"/>
        </w:rPr>
        <w:t>a</w:t>
      </w:r>
      <w:r w:rsidR="00990C02">
        <w:rPr>
          <w:sz w:val="23"/>
          <w:szCs w:val="23"/>
        </w:rPr>
        <w:t xml:space="preserve"> </w:t>
      </w:r>
      <w:r w:rsidRPr="00990C02">
        <w:rPr>
          <w:sz w:val="23"/>
          <w:szCs w:val="23"/>
        </w:rPr>
        <w:t>účinná.</w:t>
      </w:r>
    </w:p>
    <w:p w14:paraId="00000024" w14:textId="77777777" w:rsidR="00621718" w:rsidRDefault="00000000">
      <w:pPr>
        <w:numPr>
          <w:ilvl w:val="0"/>
          <w:numId w:val="1"/>
        </w:numPr>
        <w:tabs>
          <w:tab w:val="left" w:pos="284"/>
        </w:tabs>
        <w:spacing w:after="120" w:line="300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Smluvní strany shodně prohlašují, že splněním povinnosti Nájemce dle předchozího odstavce budou vzájemné nároky vzniklé v souvislosti se spornými skutečnostmi uvedenými v čl. I této Dohody zcela a úplně vypořádány, resp. že Smluvní strany vůči sobě z tohoto důvodu nebudou mít žádných dalších pohledávek a závazků.</w:t>
      </w:r>
    </w:p>
    <w:p w14:paraId="00000025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14:paraId="00000026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III.</w:t>
      </w:r>
    </w:p>
    <w:p w14:paraId="00000027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Závěrečná ustanovení</w:t>
      </w:r>
    </w:p>
    <w:p w14:paraId="00000028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14:paraId="00000029" w14:textId="77777777" w:rsidR="006217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right="221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Tato Dohoda je vyhotovena ve </w:t>
      </w:r>
      <w:r>
        <w:rPr>
          <w:b/>
          <w:color w:val="000000"/>
          <w:sz w:val="23"/>
          <w:szCs w:val="23"/>
        </w:rPr>
        <w:t>dvou (2) stejnopisech</w:t>
      </w:r>
      <w:r>
        <w:rPr>
          <w:color w:val="000000"/>
          <w:sz w:val="23"/>
          <w:szCs w:val="23"/>
        </w:rPr>
        <w:t xml:space="preserve"> s platností originálu, z nichž každá ze Smluvních stran obdrží po jednom </w:t>
      </w:r>
    </w:p>
    <w:p w14:paraId="0000002A" w14:textId="77777777" w:rsidR="006217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right="221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Tato Dohoda a právní vztahy mezi Smluvními stranami se řídí právním řádem České republiky.</w:t>
      </w:r>
    </w:p>
    <w:p w14:paraId="0000002B" w14:textId="77777777" w:rsidR="006217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right="221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Tato Dohoda může být měněna, doplňována či rušena pouze formou písemných, oběma Smluvními stranami odsouhlasených a podepsaných dodatků.</w:t>
      </w:r>
    </w:p>
    <w:p w14:paraId="0000002C" w14:textId="77777777" w:rsidR="006217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4" w:right="221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V případě neplatnosti nebo neúčinnosti některého ustanovení této Dohody nebudou dotčena ostatní ustanovení, která zůstávají platná a účinná. Smluvní strany se v tomto případě zavazují dohodou nahradit ustanovení neplatné nebo neúčinné novým ustanovením platným nebo účinným, které bude co nejvíce odpovídat účelu původního ustanovení a účelu této Dohody.</w:t>
      </w:r>
    </w:p>
    <w:p w14:paraId="0000002D" w14:textId="77777777" w:rsidR="00621718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284" w:right="221" w:hanging="28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Smluvní strany prohlašují, že tato Dohoda je výrazem jejich pravé a svobodné vůle, učiněným nikoli v tísni za nápadně nevýhodných podmínek. Smluvní strany si Dohodu řádně přečetly, s jejím obsahem souhlasí a na důkaz toho připojují své vlastnoruční podpisy.</w:t>
      </w:r>
    </w:p>
    <w:p w14:paraId="0000002E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jc w:val="both"/>
        <w:rPr>
          <w:color w:val="000000"/>
          <w:sz w:val="23"/>
          <w:szCs w:val="23"/>
        </w:rPr>
      </w:pPr>
    </w:p>
    <w:p w14:paraId="0000002F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962"/>
          <w:tab w:val="right" w:pos="9180"/>
        </w:tabs>
        <w:spacing w:after="120" w:line="300" w:lineRule="auto"/>
        <w:jc w:val="both"/>
        <w:rPr>
          <w:color w:val="000000"/>
          <w:sz w:val="23"/>
          <w:szCs w:val="23"/>
        </w:rPr>
      </w:pPr>
      <w:bookmarkStart w:id="7" w:name="bookmark=id.1t3h5sf" w:colFirst="0" w:colLast="0"/>
      <w:bookmarkEnd w:id="7"/>
      <w:r>
        <w:rPr>
          <w:color w:val="000000"/>
          <w:sz w:val="23"/>
          <w:szCs w:val="23"/>
        </w:rPr>
        <w:t>V Praze dne …………………………….</w:t>
      </w:r>
    </w:p>
    <w:p w14:paraId="00000030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9180"/>
        </w:tabs>
        <w:spacing w:after="120" w:line="300" w:lineRule="auto"/>
        <w:jc w:val="both"/>
        <w:rPr>
          <w:color w:val="000000"/>
          <w:sz w:val="23"/>
          <w:szCs w:val="23"/>
        </w:rPr>
      </w:pPr>
    </w:p>
    <w:p w14:paraId="00000031" w14:textId="77777777" w:rsidR="00621718" w:rsidRDefault="0062171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right" w:pos="9180"/>
        </w:tabs>
        <w:spacing w:after="120" w:line="300" w:lineRule="auto"/>
        <w:jc w:val="both"/>
        <w:rPr>
          <w:color w:val="000000"/>
          <w:sz w:val="23"/>
          <w:szCs w:val="23"/>
        </w:rPr>
      </w:pPr>
    </w:p>
    <w:p w14:paraId="00000032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4962"/>
          <w:tab w:val="right" w:pos="9180"/>
        </w:tabs>
        <w:spacing w:after="120" w:line="300" w:lineRule="auto"/>
        <w:jc w:val="both"/>
        <w:rPr>
          <w:color w:val="000000"/>
          <w:sz w:val="23"/>
          <w:szCs w:val="23"/>
        </w:rPr>
      </w:pPr>
      <w:bookmarkStart w:id="8" w:name="bookmark=id.4d34og8" w:colFirst="0" w:colLast="0"/>
      <w:bookmarkEnd w:id="8"/>
      <w:r>
        <w:rPr>
          <w:color w:val="000000"/>
          <w:sz w:val="23"/>
          <w:szCs w:val="23"/>
        </w:rPr>
        <w:t xml:space="preserve">…………………………………………. </w:t>
      </w:r>
      <w:r>
        <w:rPr>
          <w:color w:val="000000"/>
          <w:sz w:val="23"/>
          <w:szCs w:val="23"/>
        </w:rPr>
        <w:tab/>
        <w:t xml:space="preserve">…………………………………………. </w:t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b/>
          <w:color w:val="000000"/>
          <w:sz w:val="23"/>
          <w:szCs w:val="23"/>
        </w:rPr>
        <w:tab/>
      </w:r>
      <w:r>
        <w:rPr>
          <w:sz w:val="22"/>
          <w:szCs w:val="22"/>
          <w:highlight w:val="yellow"/>
        </w:rPr>
        <w:t xml:space="preserve">[…] </w:t>
      </w:r>
    </w:p>
    <w:p w14:paraId="00000033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120" w:line="300" w:lineRule="auto"/>
        <w:ind w:left="4950" w:hanging="4950"/>
        <w:rPr>
          <w:i/>
          <w:color w:val="000000"/>
          <w:sz w:val="23"/>
          <w:szCs w:val="23"/>
        </w:rPr>
      </w:pPr>
      <w:r>
        <w:rPr>
          <w:sz w:val="22"/>
          <w:szCs w:val="22"/>
          <w:highlight w:val="yellow"/>
        </w:rPr>
        <w:t xml:space="preserve">[…] </w:t>
      </w:r>
      <w:r>
        <w:rPr>
          <w:b/>
          <w:color w:val="000000"/>
          <w:sz w:val="23"/>
          <w:szCs w:val="23"/>
        </w:rPr>
        <w:tab/>
      </w:r>
    </w:p>
    <w:p w14:paraId="00000034" w14:textId="77777777" w:rsidR="0062171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120" w:line="300" w:lineRule="auto"/>
        <w:rPr>
          <w:i/>
          <w:color w:val="000000"/>
          <w:sz w:val="22"/>
          <w:szCs w:val="22"/>
        </w:rPr>
      </w:pPr>
      <w:r>
        <w:rPr>
          <w:i/>
          <w:color w:val="000000"/>
          <w:sz w:val="23"/>
          <w:szCs w:val="23"/>
        </w:rPr>
        <w:t>Nájemce</w:t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</w:r>
      <w:r>
        <w:rPr>
          <w:i/>
          <w:color w:val="000000"/>
          <w:sz w:val="23"/>
          <w:szCs w:val="23"/>
        </w:rPr>
        <w:tab/>
        <w:t>Pronajímatel</w:t>
      </w:r>
      <w:r>
        <w:rPr>
          <w:i/>
          <w:color w:val="000000"/>
          <w:sz w:val="22"/>
          <w:szCs w:val="22"/>
        </w:rPr>
        <w:tab/>
      </w:r>
    </w:p>
    <w:sectPr w:rsidR="0062171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97AE" w14:textId="77777777" w:rsidR="007D3A20" w:rsidRDefault="007D3A20" w:rsidP="006F2D35">
      <w:r>
        <w:separator/>
      </w:r>
    </w:p>
  </w:endnote>
  <w:endnote w:type="continuationSeparator" w:id="0">
    <w:p w14:paraId="52D392D8" w14:textId="77777777" w:rsidR="007D3A20" w:rsidRDefault="007D3A20" w:rsidP="006F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77F3" w14:textId="77777777" w:rsidR="007D3A20" w:rsidRDefault="007D3A20" w:rsidP="006F2D35">
      <w:r>
        <w:separator/>
      </w:r>
    </w:p>
  </w:footnote>
  <w:footnote w:type="continuationSeparator" w:id="0">
    <w:p w14:paraId="0CE8907C" w14:textId="77777777" w:rsidR="007D3A20" w:rsidRDefault="007D3A20" w:rsidP="006F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E0B" w14:textId="30EFEBFB" w:rsidR="006F2D35" w:rsidRDefault="006F2D35">
    <w:pPr>
      <w:pStyle w:val="Zhlav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AA7C9D7" wp14:editId="3F646FB6">
          <wp:simplePos x="0" y="0"/>
          <wp:positionH relativeFrom="page">
            <wp:posOffset>61595</wp:posOffset>
          </wp:positionH>
          <wp:positionV relativeFrom="page">
            <wp:posOffset>34290</wp:posOffset>
          </wp:positionV>
          <wp:extent cx="7560310" cy="106902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CEE"/>
    <w:multiLevelType w:val="multilevel"/>
    <w:tmpl w:val="B97EC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5414"/>
    <w:multiLevelType w:val="multilevel"/>
    <w:tmpl w:val="850EF4F6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30420"/>
    <w:multiLevelType w:val="multilevel"/>
    <w:tmpl w:val="C5944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03422"/>
    <w:multiLevelType w:val="multilevel"/>
    <w:tmpl w:val="7ADA5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10623">
    <w:abstractNumId w:val="2"/>
  </w:num>
  <w:num w:numId="2" w16cid:durableId="907302341">
    <w:abstractNumId w:val="0"/>
  </w:num>
  <w:num w:numId="3" w16cid:durableId="365066606">
    <w:abstractNumId w:val="1"/>
  </w:num>
  <w:num w:numId="4" w16cid:durableId="1671174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18"/>
    <w:rsid w:val="00621718"/>
    <w:rsid w:val="006F2D35"/>
    <w:rsid w:val="007D3A20"/>
    <w:rsid w:val="00990C02"/>
    <w:rsid w:val="00DF526B"/>
    <w:rsid w:val="00E9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5C8A"/>
  <w15:docId w15:val="{BF7C2B38-74A8-4811-90E1-3532475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DF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0DF9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semiHidden/>
    <w:rsid w:val="000F0DF9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unhideWhenUsed/>
    <w:rsid w:val="000F0DF9"/>
    <w:rPr>
      <w:color w:val="0563C1"/>
      <w:u w:val="single"/>
    </w:rPr>
  </w:style>
  <w:style w:type="paragraph" w:styleId="Zkladntext">
    <w:name w:val="Body Text"/>
    <w:basedOn w:val="Normln"/>
    <w:link w:val="ZkladntextChar"/>
    <w:semiHidden/>
    <w:unhideWhenUsed/>
    <w:rsid w:val="000F0DF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F0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0F0DF9"/>
    <w:pPr>
      <w:ind w:left="720"/>
      <w:contextualSpacing/>
    </w:pPr>
  </w:style>
  <w:style w:type="paragraph" w:customStyle="1" w:styleId="WW-Prosttext">
    <w:name w:val="WW-Prostý text"/>
    <w:basedOn w:val="Normln"/>
    <w:rsid w:val="000F0DF9"/>
    <w:pPr>
      <w:suppressAutoHyphens/>
    </w:pPr>
    <w:rPr>
      <w:rFonts w:ascii="Courier New" w:hAnsi="Courier New"/>
      <w:sz w:val="20"/>
      <w:szCs w:val="20"/>
    </w:rPr>
  </w:style>
  <w:style w:type="character" w:customStyle="1" w:styleId="nowrap">
    <w:name w:val="nowrap"/>
    <w:basedOn w:val="Standardnpsmoodstavce"/>
    <w:rsid w:val="002B6328"/>
  </w:style>
  <w:style w:type="character" w:styleId="Siln">
    <w:name w:val="Strong"/>
    <w:basedOn w:val="Standardnpsmoodstavce"/>
    <w:uiPriority w:val="22"/>
    <w:qFormat/>
    <w:rsid w:val="001B7082"/>
    <w:rPr>
      <w:b/>
      <w:bCs/>
    </w:rPr>
  </w:style>
  <w:style w:type="paragraph" w:customStyle="1" w:styleId="standsekr">
    <w:name w:val="standsekr"/>
    <w:basedOn w:val="Normln"/>
    <w:rsid w:val="00316173"/>
    <w:rPr>
      <w:sz w:val="22"/>
      <w:szCs w:val="20"/>
      <w:lang w:eastAsia="hu-HU"/>
    </w:rPr>
  </w:style>
  <w:style w:type="character" w:customStyle="1" w:styleId="apple-style-span">
    <w:name w:val="apple-style-span"/>
    <w:basedOn w:val="Standardnpsmoodstavce"/>
    <w:rsid w:val="000F41CE"/>
  </w:style>
  <w:style w:type="paragraph" w:styleId="Textbubliny">
    <w:name w:val="Balloon Text"/>
    <w:basedOn w:val="Normln"/>
    <w:link w:val="TextbublinyChar"/>
    <w:uiPriority w:val="99"/>
    <w:semiHidden/>
    <w:unhideWhenUsed/>
    <w:rsid w:val="00415E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4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066C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6CC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sktext">
    <w:name w:val="Český text"/>
    <w:uiPriority w:val="1"/>
    <w:qFormat/>
    <w:rsid w:val="003E7E01"/>
    <w:rPr>
      <w:rFonts w:ascii="Verdana" w:hAnsi="Verdana"/>
      <w:color w:val="1F497D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6F2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FWx7jQ9DQvbxKMgzOVJgx+Ahfw==">AMUW2mUjfdvbs/97qyShUD7PxH9pYKytwpmAGM9adUxjs/7snDtEjG5pbAuVIt38gQrRyEbbinY7ZSdjcLXAU6ttsV0thc5OHAYBWHN1L7K3dNB1c2/uso7XKOdOeVITUEWK7DM6D698ZzKhfxxiYIW2rnYuZ2bHYjXj/V/lxgIlythD02KfzXOdTrgUnTyXpRmV8iYYrfxFe1FEOOCg1xr6FsbOcK6m3nF6xzk7dUPXv6OzZSdO6WGK3nsvuu7DfxUHRC6RtDZz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benkova.petra</dc:creator>
  <cp:lastModifiedBy>LUCIE KLOSTERMANNOVÁ</cp:lastModifiedBy>
  <cp:revision>3</cp:revision>
  <dcterms:created xsi:type="dcterms:W3CDTF">2022-08-15T17:32:00Z</dcterms:created>
  <dcterms:modified xsi:type="dcterms:W3CDTF">2022-08-15T17:35:00Z</dcterms:modified>
</cp:coreProperties>
</file>